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7C5" w:rsidRPr="00E86AEA" w:rsidRDefault="005F7207" w:rsidP="005F7207">
      <w:pPr>
        <w:jc w:val="center"/>
        <w:rPr>
          <w:b/>
          <w:sz w:val="32"/>
          <w:szCs w:val="32"/>
          <w:u w:val="single"/>
        </w:rPr>
      </w:pPr>
      <w:r w:rsidRPr="00E86AEA">
        <w:rPr>
          <w:b/>
          <w:sz w:val="32"/>
          <w:szCs w:val="32"/>
          <w:u w:val="single"/>
        </w:rPr>
        <w:t>ECOLE DE MUSIQUE</w:t>
      </w:r>
    </w:p>
    <w:p w:rsidR="005F7207" w:rsidRDefault="005F7207"/>
    <w:p w:rsidR="005F7207" w:rsidRDefault="005F7207">
      <w:r>
        <w:t>La CCSB exerce la compétence « gestion de l’école de musique intercommunale (EMI) et interventions en milieu scolaire » depuis le 1</w:t>
      </w:r>
      <w:r w:rsidRPr="005F7207">
        <w:rPr>
          <w:vertAlign w:val="superscript"/>
        </w:rPr>
        <w:t>er</w:t>
      </w:r>
      <w:r>
        <w:t xml:space="preserve"> janvier 2019.</w:t>
      </w:r>
    </w:p>
    <w:p w:rsidR="005F7207" w:rsidRDefault="005F7207">
      <w:r>
        <w:t>Dans sa séance du 29 juillet 2020, le Conseil Communautaire a décidé de :</w:t>
      </w:r>
    </w:p>
    <w:p w:rsidR="005F7207" w:rsidRDefault="005F7207" w:rsidP="00860D6B">
      <w:pPr>
        <w:pStyle w:val="Paragraphedeliste"/>
        <w:numPr>
          <w:ilvl w:val="0"/>
          <w:numId w:val="1"/>
        </w:numPr>
        <w:jc w:val="both"/>
      </w:pPr>
      <w:r>
        <w:t>Diversifier les pratiques collectives et proposer un « parcours découverte » pour favoriser l’inscription de nouveaux élèves ;</w:t>
      </w:r>
    </w:p>
    <w:p w:rsidR="005F7207" w:rsidRDefault="005F7207" w:rsidP="00860D6B">
      <w:pPr>
        <w:pStyle w:val="Paragraphedeliste"/>
        <w:numPr>
          <w:ilvl w:val="0"/>
          <w:numId w:val="1"/>
        </w:numPr>
        <w:jc w:val="both"/>
      </w:pPr>
      <w:r>
        <w:t>Mettre en place un forfait famille pour simplifier les inscriptions et la facturation ;</w:t>
      </w:r>
    </w:p>
    <w:p w:rsidR="005F7207" w:rsidRDefault="005F7207" w:rsidP="00860D6B">
      <w:pPr>
        <w:pStyle w:val="Paragraphedeliste"/>
        <w:numPr>
          <w:ilvl w:val="0"/>
          <w:numId w:val="1"/>
        </w:numPr>
        <w:jc w:val="both"/>
      </w:pPr>
      <w:r>
        <w:t>Modifier les tarifs, comme ci-après, suivant les propositions faites en 2019 par la commission</w:t>
      </w:r>
    </w:p>
    <w:p w:rsidR="005F7207" w:rsidRDefault="005F7207" w:rsidP="00860D6B">
      <w:pPr>
        <w:pStyle w:val="Paragraphedeliste"/>
        <w:jc w:val="both"/>
      </w:pPr>
      <w:r>
        <w:t>« </w:t>
      </w:r>
      <w:proofErr w:type="gramStart"/>
      <w:r>
        <w:t>services</w:t>
      </w:r>
      <w:proofErr w:type="gramEnd"/>
      <w:r>
        <w:t xml:space="preserve"> à la population », afin d’harmoniser les tarifs pratiqués par l’école de Sisteron et du Syndicat Mixte d’enseignement de la musique dans les Pays du Buëch avant la prise de compétence par la CCSB.</w:t>
      </w:r>
    </w:p>
    <w:p w:rsidR="005F7207" w:rsidRDefault="005F7207" w:rsidP="00860D6B">
      <w:pPr>
        <w:pStyle w:val="Paragraphedeliste"/>
        <w:jc w:val="both"/>
      </w:pPr>
    </w:p>
    <w:p w:rsidR="005F7207" w:rsidRDefault="005F7207" w:rsidP="005F7207">
      <w:pPr>
        <w:pStyle w:val="Paragraphedeliste"/>
      </w:pPr>
    </w:p>
    <w:p w:rsidR="005F7207" w:rsidRDefault="005F7207" w:rsidP="005F7207">
      <w:pPr>
        <w:pStyle w:val="Paragraphedeliste"/>
      </w:pPr>
    </w:p>
    <w:p w:rsidR="005F7207" w:rsidRDefault="005F7207" w:rsidP="005F7207">
      <w:pPr>
        <w:pStyle w:val="Paragraphedeliste"/>
      </w:pPr>
      <w:r>
        <w:t xml:space="preserve">  </w:t>
      </w:r>
    </w:p>
    <w:tbl>
      <w:tblPr>
        <w:tblStyle w:val="Grilledutableau"/>
        <w:tblW w:w="0" w:type="auto"/>
        <w:tblInd w:w="720" w:type="dxa"/>
        <w:tblLook w:val="04A0" w:firstRow="1" w:lastRow="0" w:firstColumn="1" w:lastColumn="0" w:noHBand="0" w:noVBand="1"/>
      </w:tblPr>
      <w:tblGrid>
        <w:gridCol w:w="2832"/>
        <w:gridCol w:w="2397"/>
        <w:gridCol w:w="3101"/>
        <w:gridCol w:w="12"/>
      </w:tblGrid>
      <w:tr w:rsidR="0074006B" w:rsidTr="00E86AEA">
        <w:tc>
          <w:tcPr>
            <w:tcW w:w="2832" w:type="dxa"/>
          </w:tcPr>
          <w:p w:rsidR="005F7207" w:rsidRDefault="005F7207" w:rsidP="005F7207">
            <w:pPr>
              <w:pStyle w:val="Paragraphedeliste"/>
              <w:ind w:left="0"/>
            </w:pPr>
          </w:p>
        </w:tc>
        <w:tc>
          <w:tcPr>
            <w:tcW w:w="2397" w:type="dxa"/>
          </w:tcPr>
          <w:p w:rsidR="00E86AEA" w:rsidRDefault="00E86AEA" w:rsidP="00E86AEA">
            <w:pPr>
              <w:pStyle w:val="Paragraphedeliste"/>
              <w:ind w:left="0"/>
              <w:jc w:val="center"/>
            </w:pPr>
            <w:r>
              <w:t xml:space="preserve">Elèves résidents de </w:t>
            </w:r>
          </w:p>
          <w:p w:rsidR="005F7207" w:rsidRDefault="00E86AEA" w:rsidP="00E86AEA">
            <w:pPr>
              <w:pStyle w:val="Paragraphedeliste"/>
              <w:ind w:left="0"/>
              <w:jc w:val="center"/>
            </w:pPr>
            <w:r>
              <w:t>la CCSB</w:t>
            </w:r>
          </w:p>
        </w:tc>
        <w:tc>
          <w:tcPr>
            <w:tcW w:w="3113" w:type="dxa"/>
            <w:gridSpan w:val="2"/>
          </w:tcPr>
          <w:p w:rsidR="00E86AEA" w:rsidRDefault="00E86AEA" w:rsidP="00E86AEA">
            <w:pPr>
              <w:pStyle w:val="Paragraphedeliste"/>
              <w:ind w:left="0"/>
              <w:jc w:val="center"/>
            </w:pPr>
            <w:r>
              <w:t xml:space="preserve">Elèves résidents de </w:t>
            </w:r>
          </w:p>
          <w:p w:rsidR="005F7207" w:rsidRDefault="00E86AEA" w:rsidP="00E86AEA">
            <w:pPr>
              <w:pStyle w:val="Paragraphedeliste"/>
              <w:ind w:left="0"/>
              <w:jc w:val="center"/>
            </w:pPr>
            <w:r>
              <w:t>la CCSB</w:t>
            </w:r>
          </w:p>
        </w:tc>
      </w:tr>
      <w:tr w:rsidR="00E86AEA" w:rsidTr="00E86AEA">
        <w:trPr>
          <w:gridAfter w:val="1"/>
          <w:wAfter w:w="12" w:type="dxa"/>
          <w:trHeight w:val="396"/>
        </w:trPr>
        <w:tc>
          <w:tcPr>
            <w:tcW w:w="8330" w:type="dxa"/>
            <w:gridSpan w:val="3"/>
          </w:tcPr>
          <w:p w:rsidR="00E86AEA" w:rsidRDefault="00E86AEA" w:rsidP="00E86AEA">
            <w:pPr>
              <w:pStyle w:val="Paragraphedeliste"/>
              <w:ind w:left="0"/>
            </w:pPr>
            <w:r w:rsidRPr="00B12FA7">
              <w:rPr>
                <w:b/>
              </w:rPr>
              <w:t>1</w:t>
            </w:r>
            <w:r w:rsidRPr="00B12FA7">
              <w:rPr>
                <w:b/>
                <w:vertAlign w:val="superscript"/>
              </w:rPr>
              <w:t>er</w:t>
            </w:r>
            <w:r w:rsidRPr="00B12FA7">
              <w:rPr>
                <w:b/>
              </w:rPr>
              <w:t xml:space="preserve"> instrument</w:t>
            </w:r>
            <w:r>
              <w:t xml:space="preserve"> (comprend l’accès aux pratiques collectives)</w:t>
            </w:r>
          </w:p>
        </w:tc>
      </w:tr>
      <w:tr w:rsidR="0074006B" w:rsidTr="00E86AEA">
        <w:tc>
          <w:tcPr>
            <w:tcW w:w="2832" w:type="dxa"/>
          </w:tcPr>
          <w:p w:rsidR="005F7207" w:rsidRDefault="0074006B" w:rsidP="0074006B">
            <w:pPr>
              <w:pStyle w:val="Paragraphedeliste"/>
              <w:ind w:left="0"/>
              <w:jc w:val="center"/>
            </w:pPr>
            <w:r>
              <w:t>1</w:t>
            </w:r>
            <w:r w:rsidRPr="0074006B">
              <w:rPr>
                <w:vertAlign w:val="superscript"/>
              </w:rPr>
              <w:t>er</w:t>
            </w:r>
            <w:r>
              <w:t xml:space="preserve"> Membres de la famille</w:t>
            </w:r>
          </w:p>
        </w:tc>
        <w:tc>
          <w:tcPr>
            <w:tcW w:w="2397" w:type="dxa"/>
          </w:tcPr>
          <w:p w:rsidR="005F7207" w:rsidRDefault="0074006B" w:rsidP="0074006B">
            <w:pPr>
              <w:pStyle w:val="Paragraphedeliste"/>
              <w:ind w:left="0"/>
              <w:jc w:val="center"/>
            </w:pPr>
            <w:r>
              <w:t>250 €</w:t>
            </w:r>
          </w:p>
        </w:tc>
        <w:tc>
          <w:tcPr>
            <w:tcW w:w="3113" w:type="dxa"/>
            <w:gridSpan w:val="2"/>
          </w:tcPr>
          <w:p w:rsidR="005F7207" w:rsidRDefault="0074006B" w:rsidP="0074006B">
            <w:pPr>
              <w:pStyle w:val="Paragraphedeliste"/>
              <w:ind w:left="0"/>
              <w:jc w:val="center"/>
            </w:pPr>
            <w:r>
              <w:t>375 €</w:t>
            </w:r>
          </w:p>
        </w:tc>
      </w:tr>
      <w:tr w:rsidR="0074006B" w:rsidTr="00E86AEA">
        <w:tc>
          <w:tcPr>
            <w:tcW w:w="2832" w:type="dxa"/>
          </w:tcPr>
          <w:p w:rsidR="005F7207" w:rsidRDefault="0074006B" w:rsidP="0074006B">
            <w:pPr>
              <w:pStyle w:val="Paragraphedeliste"/>
              <w:ind w:left="0"/>
              <w:jc w:val="center"/>
            </w:pPr>
            <w:r>
              <w:t>2</w:t>
            </w:r>
            <w:r w:rsidRPr="0074006B">
              <w:rPr>
                <w:vertAlign w:val="superscript"/>
              </w:rPr>
              <w:t>ème</w:t>
            </w:r>
            <w:r>
              <w:t xml:space="preserve"> Membre de la famille</w:t>
            </w:r>
          </w:p>
        </w:tc>
        <w:tc>
          <w:tcPr>
            <w:tcW w:w="2397" w:type="dxa"/>
          </w:tcPr>
          <w:p w:rsidR="005F7207" w:rsidRDefault="0074006B" w:rsidP="0074006B">
            <w:pPr>
              <w:pStyle w:val="Paragraphedeliste"/>
              <w:ind w:left="0"/>
              <w:jc w:val="center"/>
            </w:pPr>
            <w:r>
              <w:t>190 €</w:t>
            </w:r>
          </w:p>
        </w:tc>
        <w:tc>
          <w:tcPr>
            <w:tcW w:w="3113" w:type="dxa"/>
            <w:gridSpan w:val="2"/>
          </w:tcPr>
          <w:p w:rsidR="005F7207" w:rsidRDefault="0074006B" w:rsidP="0074006B">
            <w:pPr>
              <w:pStyle w:val="Paragraphedeliste"/>
              <w:ind w:left="0"/>
              <w:jc w:val="center"/>
            </w:pPr>
            <w:r>
              <w:t>260 €</w:t>
            </w:r>
          </w:p>
        </w:tc>
      </w:tr>
      <w:tr w:rsidR="0074006B" w:rsidTr="00E86AEA">
        <w:tc>
          <w:tcPr>
            <w:tcW w:w="2832" w:type="dxa"/>
          </w:tcPr>
          <w:p w:rsidR="005F7207" w:rsidRDefault="0074006B" w:rsidP="0074006B">
            <w:pPr>
              <w:pStyle w:val="Paragraphedeliste"/>
              <w:ind w:left="0"/>
              <w:jc w:val="center"/>
            </w:pPr>
            <w:r>
              <w:t>Forfait famille (à compter du 3</w:t>
            </w:r>
            <w:r w:rsidRPr="0074006B">
              <w:rPr>
                <w:vertAlign w:val="superscript"/>
              </w:rPr>
              <w:t>ème</w:t>
            </w:r>
            <w:r>
              <w:t xml:space="preserve"> membre)</w:t>
            </w:r>
          </w:p>
        </w:tc>
        <w:tc>
          <w:tcPr>
            <w:tcW w:w="2397" w:type="dxa"/>
          </w:tcPr>
          <w:p w:rsidR="005F7207" w:rsidRDefault="0074006B" w:rsidP="0074006B">
            <w:pPr>
              <w:pStyle w:val="Paragraphedeliste"/>
              <w:ind w:left="0"/>
              <w:jc w:val="center"/>
            </w:pPr>
            <w:r>
              <w:t>590 €</w:t>
            </w:r>
          </w:p>
        </w:tc>
        <w:tc>
          <w:tcPr>
            <w:tcW w:w="3113" w:type="dxa"/>
            <w:gridSpan w:val="2"/>
          </w:tcPr>
          <w:p w:rsidR="005F7207" w:rsidRDefault="0074006B" w:rsidP="0074006B">
            <w:pPr>
              <w:pStyle w:val="Paragraphedeliste"/>
              <w:ind w:left="0"/>
              <w:jc w:val="center"/>
            </w:pPr>
            <w:r>
              <w:t>800 €</w:t>
            </w:r>
          </w:p>
        </w:tc>
      </w:tr>
      <w:tr w:rsidR="0074006B" w:rsidTr="00E86AEA">
        <w:tc>
          <w:tcPr>
            <w:tcW w:w="2832" w:type="dxa"/>
          </w:tcPr>
          <w:p w:rsidR="0074006B" w:rsidRDefault="0074006B" w:rsidP="0074006B">
            <w:pPr>
              <w:pStyle w:val="Paragraphedeliste"/>
              <w:ind w:left="0"/>
              <w:jc w:val="center"/>
            </w:pPr>
            <w:r w:rsidRPr="00B12FA7">
              <w:rPr>
                <w:b/>
              </w:rPr>
              <w:t>Instrument supplémentaire</w:t>
            </w:r>
            <w:r>
              <w:t xml:space="preserve"> (Tarif non dégressif )</w:t>
            </w:r>
          </w:p>
        </w:tc>
        <w:tc>
          <w:tcPr>
            <w:tcW w:w="2397" w:type="dxa"/>
          </w:tcPr>
          <w:p w:rsidR="0074006B" w:rsidRDefault="0074006B" w:rsidP="0074006B">
            <w:pPr>
              <w:pStyle w:val="Paragraphedeliste"/>
              <w:ind w:left="0"/>
              <w:jc w:val="center"/>
            </w:pPr>
            <w:r>
              <w:t>190 €</w:t>
            </w:r>
          </w:p>
        </w:tc>
        <w:tc>
          <w:tcPr>
            <w:tcW w:w="3113" w:type="dxa"/>
            <w:gridSpan w:val="2"/>
          </w:tcPr>
          <w:p w:rsidR="0074006B" w:rsidRDefault="0074006B" w:rsidP="0074006B">
            <w:pPr>
              <w:pStyle w:val="Paragraphedeliste"/>
              <w:ind w:left="0"/>
              <w:jc w:val="center"/>
            </w:pPr>
            <w:r>
              <w:t>200 €</w:t>
            </w:r>
          </w:p>
          <w:p w:rsidR="0074006B" w:rsidRDefault="0074006B" w:rsidP="0074006B">
            <w:pPr>
              <w:pStyle w:val="Paragraphedeliste"/>
              <w:ind w:left="0"/>
              <w:jc w:val="center"/>
            </w:pPr>
          </w:p>
        </w:tc>
      </w:tr>
      <w:tr w:rsidR="0074006B" w:rsidTr="00E86AEA">
        <w:tc>
          <w:tcPr>
            <w:tcW w:w="2832" w:type="dxa"/>
          </w:tcPr>
          <w:p w:rsidR="005F7207" w:rsidRDefault="0074006B" w:rsidP="0074006B">
            <w:pPr>
              <w:pStyle w:val="Paragraphedeliste"/>
              <w:ind w:left="0"/>
              <w:jc w:val="center"/>
            </w:pPr>
            <w:r>
              <w:t>Parcours découverte</w:t>
            </w:r>
          </w:p>
        </w:tc>
        <w:tc>
          <w:tcPr>
            <w:tcW w:w="2397" w:type="dxa"/>
          </w:tcPr>
          <w:p w:rsidR="005F7207" w:rsidRDefault="0074006B" w:rsidP="0074006B">
            <w:pPr>
              <w:pStyle w:val="Paragraphedeliste"/>
              <w:ind w:left="0"/>
              <w:jc w:val="center"/>
            </w:pPr>
            <w:r>
              <w:t>190 €</w:t>
            </w:r>
          </w:p>
        </w:tc>
        <w:tc>
          <w:tcPr>
            <w:tcW w:w="3113" w:type="dxa"/>
            <w:gridSpan w:val="2"/>
          </w:tcPr>
          <w:p w:rsidR="0074006B" w:rsidRDefault="0074006B" w:rsidP="0074006B">
            <w:pPr>
              <w:pStyle w:val="Paragraphedeliste"/>
              <w:ind w:left="0"/>
              <w:jc w:val="center"/>
            </w:pPr>
            <w:r>
              <w:t>220 €</w:t>
            </w:r>
          </w:p>
        </w:tc>
      </w:tr>
      <w:tr w:rsidR="0074006B" w:rsidTr="00E86AEA">
        <w:tc>
          <w:tcPr>
            <w:tcW w:w="2832" w:type="dxa"/>
          </w:tcPr>
          <w:p w:rsidR="005F7207" w:rsidRDefault="0074006B" w:rsidP="00B12FA7">
            <w:pPr>
              <w:pStyle w:val="Paragraphedeliste"/>
              <w:ind w:left="0"/>
              <w:jc w:val="center"/>
            </w:pPr>
            <w:r>
              <w:t>Pratique collectives (1)</w:t>
            </w:r>
          </w:p>
          <w:p w:rsidR="0074006B" w:rsidRDefault="0074006B" w:rsidP="00B12FA7">
            <w:pPr>
              <w:pStyle w:val="Paragraphedeliste"/>
              <w:ind w:left="0"/>
              <w:jc w:val="center"/>
            </w:pPr>
            <w:r>
              <w:t>Chorale, formation musicale, musique de chambre, l’orchestre, ensemble</w:t>
            </w:r>
            <w:r w:rsidR="00B12FA7">
              <w:t xml:space="preserve"> de classe, atelier musique actuelle, éveil musical (4-6 ans) à Laragne et Serres</w:t>
            </w:r>
          </w:p>
        </w:tc>
        <w:tc>
          <w:tcPr>
            <w:tcW w:w="2397" w:type="dxa"/>
          </w:tcPr>
          <w:p w:rsidR="00B12FA7" w:rsidRDefault="00B12FA7" w:rsidP="00B12FA7">
            <w:pPr>
              <w:pStyle w:val="Paragraphedeliste"/>
              <w:ind w:left="0"/>
              <w:jc w:val="center"/>
            </w:pPr>
          </w:p>
          <w:p w:rsidR="00B12FA7" w:rsidRDefault="00B12FA7" w:rsidP="00B12FA7">
            <w:pPr>
              <w:pStyle w:val="Paragraphedeliste"/>
              <w:ind w:left="0"/>
              <w:jc w:val="center"/>
            </w:pPr>
          </w:p>
          <w:p w:rsidR="00B12FA7" w:rsidRDefault="00B12FA7" w:rsidP="00B12FA7">
            <w:pPr>
              <w:pStyle w:val="Paragraphedeliste"/>
              <w:ind w:left="0"/>
              <w:jc w:val="center"/>
            </w:pPr>
          </w:p>
          <w:p w:rsidR="005F7207" w:rsidRDefault="00B12FA7" w:rsidP="00B12FA7">
            <w:pPr>
              <w:pStyle w:val="Paragraphedeliste"/>
              <w:ind w:left="0"/>
              <w:jc w:val="center"/>
            </w:pPr>
            <w:r>
              <w:t>100 €</w:t>
            </w:r>
          </w:p>
        </w:tc>
        <w:tc>
          <w:tcPr>
            <w:tcW w:w="3113" w:type="dxa"/>
            <w:gridSpan w:val="2"/>
          </w:tcPr>
          <w:p w:rsidR="00B12FA7" w:rsidRDefault="00B12FA7" w:rsidP="00B12FA7">
            <w:pPr>
              <w:pStyle w:val="Paragraphedeliste"/>
              <w:ind w:left="0"/>
              <w:jc w:val="center"/>
            </w:pPr>
          </w:p>
          <w:p w:rsidR="00B12FA7" w:rsidRDefault="00B12FA7" w:rsidP="00B12FA7">
            <w:pPr>
              <w:pStyle w:val="Paragraphedeliste"/>
              <w:ind w:left="0"/>
              <w:jc w:val="center"/>
            </w:pPr>
          </w:p>
          <w:p w:rsidR="00B12FA7" w:rsidRDefault="00B12FA7" w:rsidP="00B12FA7">
            <w:pPr>
              <w:pStyle w:val="Paragraphedeliste"/>
              <w:ind w:left="0"/>
              <w:jc w:val="center"/>
            </w:pPr>
          </w:p>
          <w:p w:rsidR="005F7207" w:rsidRDefault="00B12FA7" w:rsidP="00B12FA7">
            <w:pPr>
              <w:pStyle w:val="Paragraphedeliste"/>
              <w:ind w:left="0"/>
              <w:jc w:val="center"/>
            </w:pPr>
            <w:r>
              <w:t>120 €</w:t>
            </w:r>
          </w:p>
        </w:tc>
      </w:tr>
    </w:tbl>
    <w:p w:rsidR="005F7207" w:rsidRDefault="005F7207" w:rsidP="005F7207">
      <w:pPr>
        <w:pStyle w:val="Paragraphedeliste"/>
      </w:pPr>
    </w:p>
    <w:p w:rsidR="00B12FA7" w:rsidRDefault="00B12FA7" w:rsidP="005F7207">
      <w:pPr>
        <w:pStyle w:val="Paragraphedeliste"/>
      </w:pPr>
    </w:p>
    <w:p w:rsidR="00B12FA7" w:rsidRDefault="00B12FA7" w:rsidP="005F7207">
      <w:pPr>
        <w:pStyle w:val="Paragraphedeliste"/>
      </w:pPr>
      <w:r>
        <w:t>Il est également proposé :</w:t>
      </w:r>
    </w:p>
    <w:p w:rsidR="00B12FA7" w:rsidRDefault="00B12FA7" w:rsidP="00B12FA7">
      <w:pPr>
        <w:pStyle w:val="Paragraphedeliste"/>
        <w:numPr>
          <w:ilvl w:val="0"/>
          <w:numId w:val="2"/>
        </w:numPr>
      </w:pPr>
      <w:r>
        <w:t>2 modes de facturation : en une ou quatre fois</w:t>
      </w:r>
    </w:p>
    <w:p w:rsidR="00B12FA7" w:rsidRDefault="00B12FA7" w:rsidP="00B12FA7">
      <w:pPr>
        <w:pStyle w:val="Paragraphedeliste"/>
        <w:numPr>
          <w:ilvl w:val="0"/>
          <w:numId w:val="2"/>
        </w:numPr>
      </w:pPr>
      <w:r>
        <w:t>4 mode</w:t>
      </w:r>
      <w:r w:rsidR="00860D6B">
        <w:t>s</w:t>
      </w:r>
      <w:bookmarkStart w:id="0" w:name="_GoBack"/>
      <w:bookmarkEnd w:id="0"/>
      <w:r>
        <w:t xml:space="preserve"> de paiement :</w:t>
      </w:r>
    </w:p>
    <w:p w:rsidR="00B12FA7" w:rsidRDefault="00E86AEA" w:rsidP="00E86AEA">
      <w:pPr>
        <w:pStyle w:val="Paragraphedeliste"/>
        <w:numPr>
          <w:ilvl w:val="1"/>
          <w:numId w:val="2"/>
        </w:numPr>
      </w:pPr>
      <w:r>
        <w:t xml:space="preserve">Par prélèvement automatique en une fois (début </w:t>
      </w:r>
      <w:r w:rsidR="00670ECE">
        <w:t>novembre</w:t>
      </w:r>
      <w:r>
        <w:t>)</w:t>
      </w:r>
    </w:p>
    <w:p w:rsidR="00E86AEA" w:rsidRDefault="00E86AEA" w:rsidP="00E86AEA">
      <w:pPr>
        <w:pStyle w:val="Paragraphedeliste"/>
        <w:numPr>
          <w:ilvl w:val="1"/>
          <w:numId w:val="2"/>
        </w:numPr>
      </w:pPr>
      <w:r>
        <w:t>Par prélèvement automatique en quatre fois (début novembre, début février, début avril et début juin)</w:t>
      </w:r>
    </w:p>
    <w:p w:rsidR="00E86AEA" w:rsidRDefault="00E86AEA" w:rsidP="00E86AEA">
      <w:pPr>
        <w:pStyle w:val="Paragraphedeliste"/>
        <w:numPr>
          <w:ilvl w:val="1"/>
          <w:numId w:val="2"/>
        </w:numPr>
      </w:pPr>
      <w:r>
        <w:t>Par internet en une fois à réception du titre (début novembre)</w:t>
      </w:r>
    </w:p>
    <w:p w:rsidR="00E86AEA" w:rsidRDefault="00E86AEA" w:rsidP="00E86AEA">
      <w:pPr>
        <w:pStyle w:val="Paragraphedeliste"/>
        <w:numPr>
          <w:ilvl w:val="1"/>
          <w:numId w:val="2"/>
        </w:numPr>
      </w:pPr>
      <w:r>
        <w:t xml:space="preserve">Par chèque en une fois à réception du titre </w:t>
      </w:r>
      <w:r w:rsidR="00670ECE">
        <w:t>(début</w:t>
      </w:r>
      <w:r>
        <w:t xml:space="preserve"> novembre) </w:t>
      </w:r>
    </w:p>
    <w:sectPr w:rsidR="00E86AEA" w:rsidSect="00670ECE">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539D"/>
    <w:multiLevelType w:val="hybridMultilevel"/>
    <w:tmpl w:val="C7300F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0259C7"/>
    <w:multiLevelType w:val="hybridMultilevel"/>
    <w:tmpl w:val="141276C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07"/>
    <w:rsid w:val="005F7207"/>
    <w:rsid w:val="006057C5"/>
    <w:rsid w:val="00670ECE"/>
    <w:rsid w:val="0074006B"/>
    <w:rsid w:val="00860D6B"/>
    <w:rsid w:val="00B12FA7"/>
    <w:rsid w:val="00E86A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F961B"/>
  <w15:chartTrackingRefBased/>
  <w15:docId w15:val="{8FC45649-D92D-448C-BC65-2CF4AC4A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7207"/>
    <w:pPr>
      <w:ind w:left="720"/>
      <w:contextualSpacing/>
    </w:pPr>
  </w:style>
  <w:style w:type="table" w:styleId="Grilledutableau">
    <w:name w:val="Table Grid"/>
    <w:basedOn w:val="TableauNormal"/>
    <w:uiPriority w:val="39"/>
    <w:rsid w:val="005F7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1433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urba</cp:lastModifiedBy>
  <cp:revision>3</cp:revision>
  <dcterms:created xsi:type="dcterms:W3CDTF">2020-07-30T14:20:00Z</dcterms:created>
  <dcterms:modified xsi:type="dcterms:W3CDTF">2020-07-30T14:27:00Z</dcterms:modified>
</cp:coreProperties>
</file>